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9"/>
        <w:gridCol w:w="4591"/>
        <w:gridCol w:w="4770"/>
        <w:gridCol w:w="272"/>
        <w:gridCol w:w="4678"/>
        <w:gridCol w:w="180"/>
      </w:tblGrid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CB65B9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ՀՀԿԳՄՍՆԷԱՃԾՁԲ-</w:t>
            </w:r>
            <w:r w:rsidR="00CF354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  <w:r w:rsidR="00CF354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6</w:t>
            </w:r>
            <w:r w:rsidR="00243D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/</w:t>
            </w:r>
            <w:r w:rsidR="00CF354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14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DA7CF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внутреннего аудита</w:t>
            </w:r>
          </w:p>
        </w:tc>
      </w:tr>
      <w:tr w:rsidR="00246DB9" w:rsidRPr="00CB65B9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CF354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22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CF354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01.2026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</w:t>
            </w:r>
            <w:proofErr w:type="spellStart"/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 w:rsidRPr="00813CA0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 w:rsidRPr="00813CA0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CB65B9" w:rsidTr="00243DC4">
        <w:trPr>
          <w:trHeight w:val="555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CB65B9" w:rsidTr="00243DC4">
        <w:trPr>
          <w:trHeight w:val="535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 w:rsidR="00243DC4"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="00243DC4"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 w:rsidR="00CF354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26/14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="002D1873" w:rsidRP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243DC4" w:rsidRPr="00CB65B9" w:rsidTr="00243DC4">
        <w:trPr>
          <w:gridAfter w:val="1"/>
          <w:wAfter w:w="180" w:type="dxa"/>
          <w:trHeight w:val="94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2. Информация об участниках, подавших заявки:</w:t>
            </w:r>
          </w:p>
        </w:tc>
      </w:tr>
      <w:tr w:rsidR="00243DC4" w:rsidRPr="00CB65B9" w:rsidTr="00243DC4">
        <w:trPr>
          <w:gridAfter w:val="1"/>
          <w:wAfter w:w="180" w:type="dxa"/>
          <w:trHeight w:val="292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2.1 Организованным </w:t>
            </w:r>
            <w:r w:rsidRPr="00256A0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РА на процедуру закупки с </w:t>
            </w:r>
            <w:proofErr w:type="gramStart"/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кодом  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gramEnd"/>
            <w:r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 w:rsidR="00CF354E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26/14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подали заявки следующие организации:</w:t>
            </w:r>
          </w:p>
        </w:tc>
      </w:tr>
      <w:tr w:rsidR="00243DC4" w:rsidRPr="00256A03" w:rsidTr="00243DC4">
        <w:trPr>
          <w:gridAfter w:val="2"/>
          <w:wAfter w:w="4858" w:type="dxa"/>
          <w:trHeight w:val="3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Эл. Адреса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243DC4" w:rsidRPr="00256A03" w:rsidTr="00243DC4">
        <w:trPr>
          <w:gridAfter w:val="2"/>
          <w:wAfter w:w="4858" w:type="dxa"/>
          <w:trHeight w:val="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B15619" w:rsidRDefault="00B15619" w:rsidP="00B15619">
            <w:pPr>
              <w:spacing w:after="0"/>
              <w:jc w:val="center"/>
              <w:rPr>
                <w:rFonts w:ascii="GHEA Grapalat" w:hAnsi="GHEA Grapalat" w:cs="Calibri"/>
                <w:color w:val="37474F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Консорциум ООО «Кроу Армения», ООО «Проф Аудит» и ООО «Перфект Аудит»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CB65B9" w:rsidP="00816497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 w:rsidRPr="00075C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procurement@crowe.am</w:t>
            </w:r>
            <w:bookmarkStart w:id="0" w:name="_GoBack"/>
            <w:bookmarkEnd w:id="0"/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243DC4" w:rsidRPr="00CB65B9" w:rsidTr="00243DC4">
        <w:trPr>
          <w:gridAfter w:val="1"/>
          <w:wAfter w:w="180" w:type="dxa"/>
          <w:trHeight w:val="432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3.1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Представленная участником </w:t>
            </w:r>
            <w:r w:rsidR="00B15619">
              <w:rPr>
                <w:rFonts w:ascii="GHEA Grapalat" w:hAnsi="GHEA Grapalat"/>
                <w:b/>
                <w:sz w:val="20"/>
                <w:lang w:val="hy-AM"/>
              </w:rPr>
              <w:t>Консорциум ООО «Кроу Армения», ООО «Проф Аудит» и ООО «Перфект Аудит»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заявка была составлена и представлена в соответствии с требованиями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Принятое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решение: за 4,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 Цены, предложенные каждым участниками: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В результате обратного аукциона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участниками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представлены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следующие </w:t>
            </w:r>
            <w:proofErr w:type="spellStart"/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ценевые</w:t>
            </w:r>
            <w:proofErr w:type="spellEnd"/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предложения: </w:t>
            </w:r>
          </w:p>
          <w:tbl>
            <w:tblPr>
              <w:tblW w:w="1078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64"/>
              <w:gridCol w:w="1665"/>
              <w:gridCol w:w="4050"/>
              <w:gridCol w:w="4410"/>
            </w:tblGrid>
            <w:tr w:rsidR="00243DC4" w:rsidRPr="00256A03" w:rsidTr="00B15619">
              <w:trPr>
                <w:trHeight w:val="408"/>
              </w:trPr>
              <w:tc>
                <w:tcPr>
                  <w:tcW w:w="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</w:pPr>
                  <w:r w:rsidRPr="00256A03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№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лота</w:t>
                  </w:r>
                  <w:r w:rsidRPr="00256A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Ориенти-ровочная</w:t>
                  </w:r>
                  <w:proofErr w:type="spellEnd"/>
                  <w:proofErr w:type="gramEnd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цена, драм РА</w:t>
                  </w:r>
                </w:p>
              </w:tc>
              <w:tc>
                <w:tcPr>
                  <w:tcW w:w="84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243DC4" w:rsidRPr="00CB65B9" w:rsidTr="00B15619">
              <w:trPr>
                <w:cantSplit/>
                <w:trHeight w:val="100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B15619" w:rsidRDefault="00B15619" w:rsidP="00816497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Консорциум ООО «Кроу Армения», ООО «Проф Аудит» и ООО «Перфект Аудит»</w:t>
                  </w:r>
                </w:p>
              </w:tc>
            </w:tr>
            <w:tr w:rsidR="00243DC4" w:rsidRPr="00CB65B9" w:rsidTr="00B15619">
              <w:trPr>
                <w:trHeight w:val="305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4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Предложенные окончательные цены, </w:t>
                  </w:r>
                  <w:proofErr w:type="spellStart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</w:tr>
            <w:tr w:rsidR="00243DC4" w:rsidRPr="00256A03" w:rsidTr="00B15619">
              <w:trPr>
                <w:cantSplit/>
                <w:trHeight w:val="363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</w:tr>
            <w:tr w:rsidR="00CF354E" w:rsidRPr="00256A03" w:rsidTr="00B15619">
              <w:trPr>
                <w:cantSplit/>
                <w:trHeight w:val="32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CF354E" w:rsidRPr="00256A03" w:rsidRDefault="00CF354E" w:rsidP="00CF354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-108" w:firstLine="0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CF354E" w:rsidRPr="001E4DC8" w:rsidRDefault="00CF354E" w:rsidP="00CF354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9056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93432000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CF354E" w:rsidRPr="001E4DC8" w:rsidRDefault="00CF354E" w:rsidP="00CF354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9056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153000000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CF354E" w:rsidRPr="001E4DC8" w:rsidRDefault="00CF354E" w:rsidP="00CF354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9056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183600000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.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Данные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об отклоненных участниках.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5</w:t>
            </w:r>
            <w:r w:rsidR="00B7253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.1. Заявка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участника была отклонена системой по причине превышения </w:t>
            </w:r>
            <w:r w:rsidR="00F42C66" w:rsidRPr="00F42C66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ориентировоч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ной цены.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4,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6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. Об </w:t>
            </w:r>
            <w:proofErr w:type="spellStart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обьявлении</w:t>
            </w:r>
            <w:proofErr w:type="spellEnd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процесса закупки </w:t>
            </w:r>
            <w:proofErr w:type="spellStart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несостоявшим</w:t>
            </w:r>
            <w:proofErr w:type="spellEnd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.1 На основании пункта 1 части 1 статьи 37 Закона РА "О закупках" признать процесс закупки несостоявшимся на том основании, что ни одно из заявок не соответствует условиям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           Принятое решение: за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.2 Опубликовать заявление о </w:t>
            </w:r>
            <w:r w:rsidRPr="00EA244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несостоявшейся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процедуры и установить срок бездействия в соответствии со статьей 10 Закона РА «О закупках» со дня, следующего за днем </w:t>
            </w:r>
            <w:r w:rsidRPr="00256A03">
              <w:rPr>
                <w:rFonts w:ascii="Cambria Math" w:hAnsi="Cambria Math" w:cs="Cambria Math"/>
                <w:color w:val="000000"/>
                <w:sz w:val="20"/>
                <w:szCs w:val="20"/>
                <w:lang w:val="ru-RU"/>
              </w:rPr>
              <w:t>​​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публикации заявления о невыполнении процедуры, для 10-й календарный день включительно период.</w:t>
            </w:r>
          </w:p>
          <w:p w:rsidR="00243DC4" w:rsidRPr="00157D18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Принятое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решение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: за 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, против  0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243DC4" w:rsidRPr="00CB65B9" w:rsidTr="00816497">
              <w:tc>
                <w:tcPr>
                  <w:tcW w:w="14927" w:type="dxa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243DC4" w:rsidRPr="00243DC4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ՀՀԿԳՄՍՆԷԱՃԾՁԲ-</w:t>
                  </w:r>
                  <w:r w:rsidR="00CF354E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26/14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43DC4" w:rsidRPr="00362789" w:rsidRDefault="00243DC4" w:rsidP="00243DC4">
      <w:pPr>
        <w:rPr>
          <w:sz w:val="19"/>
          <w:szCs w:val="19"/>
          <w:lang w:val="ru-RU"/>
        </w:rPr>
      </w:pPr>
    </w:p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3DC4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15619"/>
    <w:rsid w:val="00B208BA"/>
    <w:rsid w:val="00B35E8E"/>
    <w:rsid w:val="00B57AF3"/>
    <w:rsid w:val="00B7253D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B65B9"/>
    <w:rsid w:val="00CC6AB0"/>
    <w:rsid w:val="00CE11FA"/>
    <w:rsid w:val="00CF354E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01A89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42C66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customStyle="1" w:styleId="text-left">
    <w:name w:val="text-left"/>
    <w:basedOn w:val="Normal"/>
    <w:rsid w:val="0024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A14D-4955-41A2-946B-0C309F02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123</cp:revision>
  <cp:lastPrinted>2022-11-02T13:14:00Z</cp:lastPrinted>
  <dcterms:created xsi:type="dcterms:W3CDTF">2020-03-05T16:11:00Z</dcterms:created>
  <dcterms:modified xsi:type="dcterms:W3CDTF">2026-01-22T14:11:00Z</dcterms:modified>
</cp:coreProperties>
</file>